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C22B" w14:textId="7651CF91" w:rsidR="00C80022" w:rsidRPr="007227E2" w:rsidRDefault="00C80022" w:rsidP="001A6435">
      <w:pPr>
        <w:spacing w:line="276" w:lineRule="auto"/>
        <w:rPr>
          <w:rFonts w:asciiTheme="minorHAnsi" w:hAnsiTheme="minorHAnsi" w:cstheme="minorHAnsi"/>
          <w:b/>
          <w:sz w:val="22"/>
          <w:szCs w:val="22"/>
        </w:rPr>
      </w:pPr>
      <w:r w:rsidRPr="007227E2">
        <w:rPr>
          <w:rFonts w:asciiTheme="minorHAnsi" w:hAnsiTheme="minorHAnsi" w:cstheme="minorHAnsi"/>
          <w:b/>
          <w:sz w:val="22"/>
          <w:szCs w:val="22"/>
        </w:rPr>
        <w:t>Description of Benefits</w:t>
      </w:r>
    </w:p>
    <w:p w14:paraId="38C88199" w14:textId="77777777" w:rsidR="00C80022" w:rsidRPr="007227E2" w:rsidRDefault="00C80022" w:rsidP="001A6435">
      <w:pPr>
        <w:numPr>
          <w:ilvl w:val="0"/>
          <w:numId w:val="17"/>
        </w:numPr>
        <w:overflowPunct w:val="0"/>
        <w:spacing w:line="276" w:lineRule="auto"/>
        <w:textAlignment w:val="baseline"/>
        <w:rPr>
          <w:rFonts w:asciiTheme="minorHAnsi" w:hAnsiTheme="minorHAnsi" w:cstheme="minorHAnsi"/>
          <w:sz w:val="22"/>
          <w:szCs w:val="22"/>
        </w:rPr>
      </w:pPr>
      <w:r w:rsidRPr="007227E2">
        <w:rPr>
          <w:rFonts w:asciiTheme="minorHAnsi" w:hAnsiTheme="minorHAnsi" w:cstheme="minorHAnsi"/>
          <w:b/>
          <w:sz w:val="22"/>
          <w:szCs w:val="22"/>
        </w:rPr>
        <w:t xml:space="preserve">Financial Consultations - </w:t>
      </w:r>
      <w:r w:rsidRPr="007227E2">
        <w:rPr>
          <w:rFonts w:asciiTheme="minorHAnsi" w:hAnsiTheme="minorHAnsi" w:cstheme="minorHAnsi"/>
          <w:sz w:val="22"/>
          <w:szCs w:val="22"/>
        </w:rPr>
        <w:t xml:space="preserve">Each team member is entitled to no cost telephonic consultations with CLC’s staffed financial coaches.  Typical matters include credit counseling, debt and budgeting assistance, tax planning, retirement, and college planning questions.  These services are provided by seasoned financial professionals and licensed CPA’s.  Telephone consultations are generally limited to thirty minutes per issue.  </w:t>
      </w:r>
    </w:p>
    <w:p w14:paraId="7ADB8800" w14:textId="6A702A30" w:rsidR="00C80022" w:rsidRPr="007227E2" w:rsidRDefault="00C80022" w:rsidP="001A6435">
      <w:pPr>
        <w:numPr>
          <w:ilvl w:val="0"/>
          <w:numId w:val="19"/>
        </w:numPr>
        <w:overflowPunct w:val="0"/>
        <w:spacing w:line="276" w:lineRule="auto"/>
        <w:ind w:left="1080"/>
        <w:textAlignment w:val="baseline"/>
        <w:rPr>
          <w:rFonts w:asciiTheme="minorHAnsi" w:hAnsiTheme="minorHAnsi" w:cstheme="minorHAnsi"/>
          <w:sz w:val="22"/>
          <w:szCs w:val="22"/>
        </w:rPr>
      </w:pPr>
      <w:r w:rsidRPr="007227E2">
        <w:rPr>
          <w:rFonts w:asciiTheme="minorHAnsi" w:hAnsiTheme="minorHAnsi" w:cstheme="minorHAnsi"/>
          <w:sz w:val="22"/>
          <w:szCs w:val="22"/>
        </w:rPr>
        <w:t xml:space="preserve">In the event you wish to retain the coach for additional services, team members may elect to continue working with their coach at a rate of $39.95 per month. This service provides the team member with unlimited access to their financial coach and the team member may continue on a month to month basis. </w:t>
      </w:r>
    </w:p>
    <w:p w14:paraId="537C9F3B" w14:textId="3205B3FB" w:rsidR="00C80022" w:rsidRPr="007227E2" w:rsidRDefault="00C80022" w:rsidP="001A6435">
      <w:pPr>
        <w:numPr>
          <w:ilvl w:val="0"/>
          <w:numId w:val="18"/>
        </w:numPr>
        <w:tabs>
          <w:tab w:val="left" w:pos="432"/>
          <w:tab w:val="left" w:pos="6912"/>
        </w:tabs>
        <w:overflowPunct w:val="0"/>
        <w:spacing w:line="276" w:lineRule="auto"/>
        <w:textAlignment w:val="baseline"/>
        <w:rPr>
          <w:rFonts w:asciiTheme="minorHAnsi" w:hAnsiTheme="minorHAnsi" w:cstheme="minorHAnsi"/>
          <w:sz w:val="22"/>
          <w:szCs w:val="22"/>
        </w:rPr>
      </w:pPr>
      <w:r w:rsidRPr="007227E2">
        <w:rPr>
          <w:rFonts w:asciiTheme="minorHAnsi" w:hAnsiTheme="minorHAnsi" w:cstheme="minorHAnsi"/>
          <w:b/>
          <w:sz w:val="22"/>
          <w:szCs w:val="22"/>
        </w:rPr>
        <w:t>Tax Preparation and Consultation Component</w:t>
      </w:r>
      <w:r w:rsidRPr="007227E2">
        <w:rPr>
          <w:rFonts w:asciiTheme="minorHAnsi" w:hAnsiTheme="minorHAnsi" w:cstheme="minorHAnsi"/>
          <w:bCs/>
          <w:sz w:val="22"/>
          <w:szCs w:val="22"/>
        </w:rPr>
        <w:t xml:space="preserve"> – Team members are entitled to receive a 30-minute income tax planning related consultation per year on each separate tax issue they encounter.  </w:t>
      </w:r>
      <w:r w:rsidRPr="007227E2">
        <w:rPr>
          <w:rFonts w:asciiTheme="minorHAnsi" w:hAnsiTheme="minorHAnsi" w:cstheme="minorHAnsi"/>
          <w:sz w:val="22"/>
          <w:szCs w:val="22"/>
        </w:rPr>
        <w:t>Preparation of all personal income tax documents are prepared by a CPA at a preferred rate reduction of 25% from the CPA’s normal fee.</w:t>
      </w:r>
    </w:p>
    <w:p w14:paraId="1FD6757C" w14:textId="77777777" w:rsidR="00C80022" w:rsidRPr="007227E2" w:rsidRDefault="00C80022" w:rsidP="001A6435">
      <w:pPr>
        <w:tabs>
          <w:tab w:val="left" w:pos="432"/>
          <w:tab w:val="left" w:pos="6912"/>
        </w:tabs>
        <w:overflowPunct w:val="0"/>
        <w:spacing w:line="276" w:lineRule="auto"/>
        <w:textAlignment w:val="baseline"/>
        <w:rPr>
          <w:rFonts w:asciiTheme="minorHAnsi" w:hAnsiTheme="minorHAnsi" w:cstheme="minorHAnsi"/>
          <w:sz w:val="22"/>
          <w:szCs w:val="22"/>
        </w:rPr>
      </w:pPr>
    </w:p>
    <w:p w14:paraId="5A6068C1" w14:textId="2FF23E18" w:rsidR="00C80022" w:rsidRPr="007227E2" w:rsidRDefault="00C80022" w:rsidP="001A6435">
      <w:pPr>
        <w:spacing w:line="276" w:lineRule="auto"/>
        <w:rPr>
          <w:rFonts w:asciiTheme="minorHAnsi" w:hAnsiTheme="minorHAnsi" w:cstheme="minorHAnsi"/>
          <w:b/>
          <w:bCs/>
          <w:iCs/>
          <w:sz w:val="22"/>
          <w:szCs w:val="22"/>
        </w:rPr>
      </w:pPr>
      <w:r w:rsidRPr="007227E2">
        <w:rPr>
          <w:rFonts w:asciiTheme="minorHAnsi" w:hAnsiTheme="minorHAnsi" w:cstheme="minorHAnsi"/>
          <w:b/>
          <w:bCs/>
          <w:iCs/>
          <w:sz w:val="22"/>
          <w:szCs w:val="22"/>
        </w:rPr>
        <w:t>Examples of the types of matters for which you may use this program include:</w:t>
      </w:r>
    </w:p>
    <w:p w14:paraId="696000EE" w14:textId="08893B7D" w:rsidR="00C80022" w:rsidRPr="007227E2" w:rsidRDefault="00C80022" w:rsidP="001A6435">
      <w:pPr>
        <w:pStyle w:val="NoSpacing"/>
        <w:numPr>
          <w:ilvl w:val="0"/>
          <w:numId w:val="18"/>
        </w:numPr>
        <w:spacing w:line="276" w:lineRule="auto"/>
        <w:rPr>
          <w:rFonts w:asciiTheme="minorHAnsi" w:hAnsiTheme="minorHAnsi" w:cstheme="minorHAnsi"/>
        </w:rPr>
      </w:pPr>
      <w:r w:rsidRPr="007227E2">
        <w:rPr>
          <w:rFonts w:asciiTheme="minorHAnsi" w:hAnsiTheme="minorHAnsi" w:cstheme="minorHAnsi"/>
          <w:b/>
        </w:rPr>
        <w:t>Developing a Spending Plan</w:t>
      </w:r>
      <w:r w:rsidRPr="007227E2">
        <w:rPr>
          <w:rFonts w:asciiTheme="minorHAnsi" w:hAnsiTheme="minorHAnsi" w:cstheme="minorHAnsi"/>
        </w:rPr>
        <w:t xml:space="preserve"> - This service provides analysis of a team member’s budget with a goal of developing a realistic spending plan that incorporates current and future financial goals.  The analysis will include guidance on maximizing income, reducing expenses, as well as managing the use of credit.</w:t>
      </w:r>
    </w:p>
    <w:p w14:paraId="245FFE2E" w14:textId="0D8DAE0F" w:rsidR="00C80022" w:rsidRPr="007227E2" w:rsidRDefault="00C80022" w:rsidP="001A6435">
      <w:pPr>
        <w:pStyle w:val="NoSpacing"/>
        <w:numPr>
          <w:ilvl w:val="0"/>
          <w:numId w:val="18"/>
        </w:numPr>
        <w:spacing w:line="276" w:lineRule="auto"/>
        <w:rPr>
          <w:rFonts w:asciiTheme="minorHAnsi" w:hAnsiTheme="minorHAnsi" w:cstheme="minorHAnsi"/>
        </w:rPr>
      </w:pPr>
      <w:r w:rsidRPr="007227E2">
        <w:rPr>
          <w:rFonts w:asciiTheme="minorHAnsi" w:hAnsiTheme="minorHAnsi" w:cstheme="minorHAnsi"/>
          <w:b/>
        </w:rPr>
        <w:t>Rebuilding Your Credit</w:t>
      </w:r>
      <w:r w:rsidRPr="007227E2">
        <w:rPr>
          <w:rFonts w:asciiTheme="minorHAnsi" w:hAnsiTheme="minorHAnsi" w:cstheme="minorHAnsi"/>
        </w:rPr>
        <w:t xml:space="preserve"> - Credit Report Analysis provided (an analysis tool that gives an overview of credit report and credit score with tips on strategies to improve your credit score).</w:t>
      </w:r>
    </w:p>
    <w:p w14:paraId="4A0B4495" w14:textId="00424DF2" w:rsidR="00C80022" w:rsidRPr="007227E2" w:rsidRDefault="00C80022" w:rsidP="001A6435">
      <w:pPr>
        <w:pStyle w:val="NoSpacing"/>
        <w:numPr>
          <w:ilvl w:val="0"/>
          <w:numId w:val="18"/>
        </w:numPr>
        <w:spacing w:line="276" w:lineRule="auto"/>
        <w:rPr>
          <w:rFonts w:asciiTheme="minorHAnsi" w:hAnsiTheme="minorHAnsi" w:cstheme="minorHAnsi"/>
        </w:rPr>
      </w:pPr>
      <w:r w:rsidRPr="007227E2">
        <w:rPr>
          <w:rFonts w:asciiTheme="minorHAnsi" w:hAnsiTheme="minorHAnsi" w:cstheme="minorHAnsi"/>
          <w:b/>
        </w:rPr>
        <w:t>Getting Out of Debt</w:t>
      </w:r>
      <w:r w:rsidRPr="007227E2">
        <w:rPr>
          <w:rFonts w:asciiTheme="minorHAnsi" w:hAnsiTheme="minorHAnsi" w:cstheme="minorHAnsi"/>
        </w:rPr>
        <w:t xml:space="preserve"> - Service provides an analysis of team member’s debt struct</w:t>
      </w:r>
      <w:r w:rsidR="00891FC7">
        <w:rPr>
          <w:rFonts w:asciiTheme="minorHAnsi" w:hAnsiTheme="minorHAnsi" w:cstheme="minorHAnsi"/>
        </w:rPr>
        <w:t xml:space="preserve">ure to ensure they are managing </w:t>
      </w:r>
      <w:r w:rsidRPr="007227E2">
        <w:rPr>
          <w:rFonts w:asciiTheme="minorHAnsi" w:hAnsiTheme="minorHAnsi" w:cstheme="minorHAnsi"/>
        </w:rPr>
        <w:t>debt in the most effective way possible.  Effective strategies for credit challenges include direct access to non-profit credit counseling services.</w:t>
      </w:r>
    </w:p>
    <w:p w14:paraId="610409A2" w14:textId="6D3955DE" w:rsidR="00C80022" w:rsidRPr="007227E2" w:rsidRDefault="00C80022" w:rsidP="001A6435">
      <w:pPr>
        <w:numPr>
          <w:ilvl w:val="0"/>
          <w:numId w:val="18"/>
        </w:numPr>
        <w:autoSpaceDE/>
        <w:autoSpaceDN/>
        <w:adjustRightInd/>
        <w:spacing w:line="276" w:lineRule="auto"/>
        <w:rPr>
          <w:rFonts w:asciiTheme="minorHAnsi" w:hAnsiTheme="minorHAnsi" w:cstheme="minorHAnsi"/>
          <w:iCs/>
          <w:sz w:val="22"/>
          <w:szCs w:val="22"/>
        </w:rPr>
      </w:pPr>
      <w:r w:rsidRPr="007227E2">
        <w:rPr>
          <w:rFonts w:asciiTheme="minorHAnsi" w:hAnsiTheme="minorHAnsi" w:cstheme="minorHAnsi"/>
          <w:b/>
          <w:bCs/>
          <w:sz w:val="22"/>
          <w:szCs w:val="22"/>
        </w:rPr>
        <w:t xml:space="preserve">Garnishments - </w:t>
      </w:r>
      <w:r w:rsidRPr="007227E2">
        <w:rPr>
          <w:rFonts w:asciiTheme="minorHAnsi" w:hAnsiTheme="minorHAnsi" w:cstheme="minorHAnsi"/>
          <w:iCs/>
          <w:sz w:val="22"/>
          <w:szCs w:val="22"/>
        </w:rPr>
        <w:t xml:space="preserve">This service offers the team member an opportunity to discuss either garnishment prevention or cash flow management in the event a garnishment has occurred.  The team member will be able to review his or her financial situation with a financial coach, to better understand the ramifications of personal choices, and alternatives, if available. </w:t>
      </w:r>
    </w:p>
    <w:p w14:paraId="5A9E0D2B" w14:textId="76C072B6" w:rsidR="00C80022" w:rsidRPr="007227E2" w:rsidRDefault="00C80022" w:rsidP="001A6435">
      <w:pPr>
        <w:numPr>
          <w:ilvl w:val="0"/>
          <w:numId w:val="18"/>
        </w:numPr>
        <w:autoSpaceDE/>
        <w:autoSpaceDN/>
        <w:adjustRightInd/>
        <w:spacing w:line="276" w:lineRule="auto"/>
        <w:rPr>
          <w:rFonts w:asciiTheme="minorHAnsi" w:hAnsiTheme="minorHAnsi" w:cstheme="minorHAnsi"/>
          <w:sz w:val="22"/>
          <w:szCs w:val="22"/>
        </w:rPr>
      </w:pPr>
      <w:r w:rsidRPr="007227E2">
        <w:rPr>
          <w:rFonts w:asciiTheme="minorHAnsi" w:hAnsiTheme="minorHAnsi" w:cstheme="minorHAnsi"/>
          <w:b/>
          <w:bCs/>
          <w:sz w:val="22"/>
          <w:szCs w:val="22"/>
        </w:rPr>
        <w:t xml:space="preserve">Tax Levy/Wage Garnishment Resolution Program </w:t>
      </w:r>
      <w:r w:rsidRPr="007227E2">
        <w:rPr>
          <w:rFonts w:asciiTheme="minorHAnsi" w:hAnsiTheme="minorHAnsi" w:cstheme="minorHAnsi"/>
          <w:sz w:val="22"/>
          <w:szCs w:val="22"/>
        </w:rPr>
        <w:t>– It is estimated that 2%-6% of the employee workforce has received or been threatened with a tax levy on wages.   Through our Tax Levy Resolution Program, team members will receive a free 30-minute consultation with a Tax Levy Resolution Specialist who can review their current tax problem. Additional services such as negotiating with taxing authorities, stopping tax collections, interfacing with HR/Payroll, etc. will be provided to the team member at a discounted fee.</w:t>
      </w:r>
    </w:p>
    <w:p w14:paraId="5658BB86" w14:textId="2E2BE5EE" w:rsidR="00C80022" w:rsidRPr="007227E2" w:rsidRDefault="00C80022" w:rsidP="001A6435">
      <w:pPr>
        <w:numPr>
          <w:ilvl w:val="0"/>
          <w:numId w:val="18"/>
        </w:numPr>
        <w:autoSpaceDE/>
        <w:autoSpaceDN/>
        <w:adjustRightInd/>
        <w:spacing w:line="276" w:lineRule="auto"/>
        <w:rPr>
          <w:rFonts w:asciiTheme="minorHAnsi" w:hAnsiTheme="minorHAnsi" w:cstheme="minorHAnsi"/>
          <w:sz w:val="22"/>
          <w:szCs w:val="22"/>
        </w:rPr>
      </w:pPr>
      <w:r w:rsidRPr="007227E2">
        <w:rPr>
          <w:rFonts w:asciiTheme="minorHAnsi" w:hAnsiTheme="minorHAnsi" w:cstheme="minorHAnsi"/>
          <w:b/>
          <w:sz w:val="22"/>
          <w:szCs w:val="22"/>
        </w:rPr>
        <w:t>Pre-Retirement Analysis</w:t>
      </w:r>
      <w:r w:rsidRPr="007227E2">
        <w:rPr>
          <w:rFonts w:asciiTheme="minorHAnsi" w:hAnsiTheme="minorHAnsi" w:cstheme="minorHAnsi"/>
          <w:sz w:val="22"/>
          <w:szCs w:val="22"/>
        </w:rPr>
        <w:t xml:space="preserve"> – This service provides an analysis of the caller’s retirement goals to see if they have a proper savings plan in place to reach these goals.  Clear action steps will be provided to help the caller consider savings or investment strategies.  </w:t>
      </w:r>
    </w:p>
    <w:p w14:paraId="2AEE96F5" w14:textId="38B7313A" w:rsidR="00C80022" w:rsidRPr="007227E2" w:rsidRDefault="00C80022" w:rsidP="001A6435">
      <w:pPr>
        <w:numPr>
          <w:ilvl w:val="0"/>
          <w:numId w:val="18"/>
        </w:numPr>
        <w:autoSpaceDE/>
        <w:autoSpaceDN/>
        <w:adjustRightInd/>
        <w:spacing w:line="276" w:lineRule="auto"/>
        <w:rPr>
          <w:rFonts w:asciiTheme="minorHAnsi" w:hAnsiTheme="minorHAnsi" w:cstheme="minorHAnsi"/>
          <w:sz w:val="22"/>
          <w:szCs w:val="22"/>
        </w:rPr>
      </w:pPr>
      <w:r w:rsidRPr="007227E2">
        <w:rPr>
          <w:rFonts w:asciiTheme="minorHAnsi" w:hAnsiTheme="minorHAnsi" w:cstheme="minorHAnsi"/>
          <w:b/>
          <w:bCs/>
          <w:iCs/>
          <w:sz w:val="22"/>
          <w:szCs w:val="22"/>
        </w:rPr>
        <w:t xml:space="preserve">401(k) Analysis – </w:t>
      </w:r>
      <w:r w:rsidRPr="007227E2">
        <w:rPr>
          <w:rFonts w:asciiTheme="minorHAnsi" w:hAnsiTheme="minorHAnsi" w:cstheme="minorHAnsi"/>
          <w:sz w:val="22"/>
          <w:szCs w:val="22"/>
        </w:rPr>
        <w:t xml:space="preserve">This service focuses on reviewing a callers’ current contributions to their 401(k) plan and the investment choices they are utilizing.  The coach will provide clear next steps to evaluate investment options within a plan and/or for determining if the caller’s pace of savings is in line with retirement goals. </w:t>
      </w:r>
    </w:p>
    <w:p w14:paraId="1944A14D" w14:textId="08D55DE4" w:rsidR="00C80022" w:rsidRPr="007227E2" w:rsidRDefault="00C80022" w:rsidP="001A6435">
      <w:pPr>
        <w:numPr>
          <w:ilvl w:val="0"/>
          <w:numId w:val="18"/>
        </w:numPr>
        <w:autoSpaceDE/>
        <w:autoSpaceDN/>
        <w:adjustRightInd/>
        <w:spacing w:line="276" w:lineRule="auto"/>
        <w:rPr>
          <w:rFonts w:asciiTheme="minorHAnsi" w:hAnsiTheme="minorHAnsi" w:cstheme="minorHAnsi"/>
          <w:sz w:val="22"/>
          <w:szCs w:val="22"/>
        </w:rPr>
      </w:pPr>
      <w:r w:rsidRPr="007227E2">
        <w:rPr>
          <w:rFonts w:asciiTheme="minorHAnsi" w:hAnsiTheme="minorHAnsi" w:cstheme="minorHAnsi"/>
          <w:b/>
          <w:sz w:val="22"/>
          <w:szCs w:val="22"/>
        </w:rPr>
        <w:t>Home Buying Strategies</w:t>
      </w:r>
      <w:r w:rsidRPr="007227E2">
        <w:rPr>
          <w:rFonts w:asciiTheme="minorHAnsi" w:hAnsiTheme="minorHAnsi" w:cstheme="minorHAnsi"/>
          <w:sz w:val="22"/>
          <w:szCs w:val="22"/>
        </w:rPr>
        <w:t xml:space="preserve"> - This service provides guidance and analysis of strategies for buying a home, as well as information on first time homebuyer programs.  Provides direct access to a mortgage loan lender.</w:t>
      </w:r>
    </w:p>
    <w:p w14:paraId="2FDE7B3D" w14:textId="5AE81C91" w:rsidR="00C80022" w:rsidRPr="007227E2" w:rsidRDefault="00C80022" w:rsidP="001A6435">
      <w:pPr>
        <w:numPr>
          <w:ilvl w:val="0"/>
          <w:numId w:val="18"/>
        </w:numPr>
        <w:autoSpaceDE/>
        <w:autoSpaceDN/>
        <w:adjustRightInd/>
        <w:spacing w:line="276" w:lineRule="auto"/>
        <w:rPr>
          <w:rFonts w:asciiTheme="minorHAnsi" w:hAnsiTheme="minorHAnsi" w:cstheme="minorHAnsi"/>
          <w:sz w:val="22"/>
          <w:szCs w:val="22"/>
        </w:rPr>
      </w:pPr>
      <w:r w:rsidRPr="007227E2">
        <w:rPr>
          <w:rFonts w:asciiTheme="minorHAnsi" w:hAnsiTheme="minorHAnsi" w:cstheme="minorHAnsi"/>
          <w:b/>
          <w:bCs/>
          <w:iCs/>
          <w:sz w:val="22"/>
          <w:szCs w:val="22"/>
        </w:rPr>
        <w:lastRenderedPageBreak/>
        <w:t xml:space="preserve">Mortgage Counseling - </w:t>
      </w:r>
      <w:r w:rsidRPr="007227E2">
        <w:rPr>
          <w:rFonts w:asciiTheme="minorHAnsi" w:hAnsiTheme="minorHAnsi" w:cstheme="minorHAnsi"/>
          <w:sz w:val="22"/>
          <w:szCs w:val="22"/>
        </w:rPr>
        <w:t xml:space="preserve">The financial counseling benefit offers objective guidance and information in any area of Mortgage and Real Estate.  Whether planning to buy a house or facing losing a home, our financial consultations can provide a wealth of information.  Our coaches offer up to date information on topics such as the purchase, refinance, or sale of a home, mortgage loan modifications, foreclosure, or investment properties. </w:t>
      </w:r>
    </w:p>
    <w:p w14:paraId="7E7C805E" w14:textId="46E1B02A" w:rsidR="00C80022" w:rsidRPr="007227E2" w:rsidRDefault="00C80022" w:rsidP="001A6435">
      <w:pPr>
        <w:numPr>
          <w:ilvl w:val="0"/>
          <w:numId w:val="18"/>
        </w:numPr>
        <w:autoSpaceDE/>
        <w:autoSpaceDN/>
        <w:adjustRightInd/>
        <w:spacing w:line="276" w:lineRule="auto"/>
        <w:rPr>
          <w:rFonts w:asciiTheme="minorHAnsi" w:hAnsiTheme="minorHAnsi" w:cstheme="minorHAnsi"/>
          <w:sz w:val="22"/>
          <w:szCs w:val="22"/>
        </w:rPr>
      </w:pPr>
      <w:r w:rsidRPr="007227E2">
        <w:rPr>
          <w:rFonts w:asciiTheme="minorHAnsi" w:hAnsiTheme="minorHAnsi" w:cstheme="minorHAnsi"/>
          <w:b/>
          <w:bCs/>
          <w:iCs/>
          <w:sz w:val="22"/>
          <w:szCs w:val="22"/>
        </w:rPr>
        <w:t>College Funding Analysis -</w:t>
      </w:r>
      <w:r w:rsidRPr="007227E2">
        <w:rPr>
          <w:rFonts w:asciiTheme="minorHAnsi" w:hAnsiTheme="minorHAnsi" w:cstheme="minorHAnsi"/>
          <w:b/>
          <w:bCs/>
          <w:i/>
          <w:iCs/>
          <w:sz w:val="22"/>
          <w:szCs w:val="22"/>
        </w:rPr>
        <w:t xml:space="preserve"> </w:t>
      </w:r>
      <w:r w:rsidRPr="007227E2">
        <w:rPr>
          <w:rFonts w:asciiTheme="minorHAnsi" w:hAnsiTheme="minorHAnsi" w:cstheme="minorHAnsi"/>
          <w:sz w:val="22"/>
          <w:szCs w:val="22"/>
        </w:rPr>
        <w:t xml:space="preserve">Provides a hard copy of a financial planning report that analyzes </w:t>
      </w:r>
      <w:r w:rsidR="00891FC7">
        <w:rPr>
          <w:rFonts w:asciiTheme="minorHAnsi" w:hAnsiTheme="minorHAnsi" w:cstheme="minorHAnsi"/>
          <w:sz w:val="22"/>
          <w:szCs w:val="22"/>
        </w:rPr>
        <w:t xml:space="preserve">team </w:t>
      </w:r>
      <w:r w:rsidRPr="007227E2">
        <w:rPr>
          <w:rFonts w:asciiTheme="minorHAnsi" w:hAnsiTheme="minorHAnsi" w:cstheme="minorHAnsi"/>
          <w:sz w:val="22"/>
          <w:szCs w:val="22"/>
        </w:rPr>
        <w:t>member’s current investments for college in relation to costs for higher education in the future.</w:t>
      </w:r>
    </w:p>
    <w:p w14:paraId="4D0CD3AE" w14:textId="623E6147" w:rsidR="00C80022" w:rsidRPr="007227E2" w:rsidRDefault="00C80022" w:rsidP="001A6435">
      <w:pPr>
        <w:numPr>
          <w:ilvl w:val="0"/>
          <w:numId w:val="18"/>
        </w:numPr>
        <w:autoSpaceDE/>
        <w:autoSpaceDN/>
        <w:adjustRightInd/>
        <w:spacing w:line="276" w:lineRule="auto"/>
        <w:rPr>
          <w:rFonts w:asciiTheme="minorHAnsi" w:hAnsiTheme="minorHAnsi" w:cstheme="minorHAnsi"/>
          <w:sz w:val="22"/>
          <w:szCs w:val="22"/>
        </w:rPr>
      </w:pPr>
      <w:r w:rsidRPr="007227E2">
        <w:rPr>
          <w:rFonts w:asciiTheme="minorHAnsi" w:hAnsiTheme="minorHAnsi" w:cstheme="minorHAnsi"/>
          <w:b/>
          <w:bCs/>
          <w:iCs/>
          <w:sz w:val="22"/>
          <w:szCs w:val="22"/>
        </w:rPr>
        <w:t>Income Tax Services -</w:t>
      </w:r>
      <w:r w:rsidRPr="007227E2">
        <w:rPr>
          <w:rFonts w:asciiTheme="minorHAnsi" w:hAnsiTheme="minorHAnsi" w:cstheme="minorHAnsi"/>
          <w:b/>
          <w:bCs/>
          <w:i/>
          <w:iCs/>
          <w:sz w:val="22"/>
          <w:szCs w:val="22"/>
        </w:rPr>
        <w:t xml:space="preserve"> </w:t>
      </w:r>
      <w:r w:rsidRPr="007227E2">
        <w:rPr>
          <w:rFonts w:asciiTheme="minorHAnsi" w:hAnsiTheme="minorHAnsi" w:cstheme="minorHAnsi"/>
          <w:sz w:val="22"/>
          <w:szCs w:val="22"/>
        </w:rPr>
        <w:t>Direct access to discounted tax preparation/tax planning services. If tax preparation service is requested, team members will receive a preferred discount of 25% off normal fees.</w:t>
      </w:r>
    </w:p>
    <w:p w14:paraId="00218777" w14:textId="77777777" w:rsidR="00C80022" w:rsidRPr="007227E2" w:rsidRDefault="00C80022" w:rsidP="001A6435">
      <w:pPr>
        <w:numPr>
          <w:ilvl w:val="0"/>
          <w:numId w:val="18"/>
        </w:numPr>
        <w:autoSpaceDE/>
        <w:autoSpaceDN/>
        <w:adjustRightInd/>
        <w:spacing w:line="276" w:lineRule="auto"/>
        <w:rPr>
          <w:rFonts w:asciiTheme="minorHAnsi" w:hAnsiTheme="minorHAnsi" w:cstheme="minorHAnsi"/>
          <w:b/>
          <w:bCs/>
          <w:sz w:val="22"/>
          <w:szCs w:val="22"/>
        </w:rPr>
      </w:pPr>
      <w:r w:rsidRPr="007227E2">
        <w:rPr>
          <w:rFonts w:asciiTheme="minorHAnsi" w:hAnsiTheme="minorHAnsi" w:cstheme="minorHAnsi"/>
          <w:b/>
          <w:bCs/>
          <w:iCs/>
          <w:sz w:val="22"/>
          <w:szCs w:val="22"/>
        </w:rPr>
        <w:t>Student Loan Debt –</w:t>
      </w:r>
      <w:r w:rsidRPr="007227E2">
        <w:rPr>
          <w:rFonts w:asciiTheme="minorHAnsi" w:hAnsiTheme="minorHAnsi" w:cstheme="minorHAnsi"/>
          <w:sz w:val="22"/>
          <w:szCs w:val="22"/>
        </w:rPr>
        <w:t xml:space="preserve"> Service provides guidance on the best ways to reduce debt, repayment options, tax considerations, forgiveness benefits, grace periods and determining whether or not debt consolidation is worth considering.  </w:t>
      </w:r>
    </w:p>
    <w:p w14:paraId="12FCE674" w14:textId="51369A57" w:rsidR="00C80022" w:rsidRPr="007227E2" w:rsidRDefault="00C80022" w:rsidP="001A6435">
      <w:pPr>
        <w:spacing w:line="276" w:lineRule="auto"/>
        <w:rPr>
          <w:rFonts w:asciiTheme="minorHAnsi" w:hAnsiTheme="minorHAnsi" w:cstheme="minorHAnsi"/>
          <w:b/>
          <w:bCs/>
          <w:sz w:val="22"/>
          <w:szCs w:val="22"/>
        </w:rPr>
      </w:pPr>
    </w:p>
    <w:p w14:paraId="2709F97E" w14:textId="7BB0B4C9" w:rsidR="00C80022" w:rsidRPr="007227E2" w:rsidRDefault="00C80022" w:rsidP="001A6435">
      <w:pPr>
        <w:pStyle w:val="BodyText"/>
        <w:spacing w:line="276" w:lineRule="auto"/>
        <w:rPr>
          <w:rFonts w:asciiTheme="minorHAnsi" w:hAnsiTheme="minorHAnsi" w:cstheme="minorHAnsi"/>
          <w:b/>
          <w:bCs/>
          <w:color w:val="auto"/>
          <w:sz w:val="22"/>
          <w:szCs w:val="22"/>
        </w:rPr>
      </w:pPr>
      <w:r w:rsidRPr="007227E2">
        <w:rPr>
          <w:rFonts w:asciiTheme="minorHAnsi" w:hAnsiTheme="minorHAnsi" w:cstheme="minorHAnsi"/>
          <w:b/>
          <w:bCs/>
          <w:color w:val="auto"/>
          <w:sz w:val="22"/>
          <w:szCs w:val="22"/>
        </w:rPr>
        <w:t>General Coaching</w:t>
      </w:r>
    </w:p>
    <w:p w14:paraId="71C41A7F" w14:textId="1C2493EE" w:rsidR="00C80022" w:rsidRPr="007227E2" w:rsidRDefault="00C80022" w:rsidP="001A6435">
      <w:pPr>
        <w:pStyle w:val="BodyText"/>
        <w:spacing w:line="276" w:lineRule="auto"/>
        <w:rPr>
          <w:rFonts w:asciiTheme="minorHAnsi" w:hAnsiTheme="minorHAnsi" w:cstheme="minorHAnsi"/>
          <w:color w:val="auto"/>
          <w:sz w:val="22"/>
          <w:szCs w:val="22"/>
        </w:rPr>
      </w:pPr>
      <w:r w:rsidRPr="007227E2">
        <w:rPr>
          <w:rFonts w:asciiTheme="minorHAnsi" w:hAnsiTheme="minorHAnsi" w:cstheme="minorHAnsi"/>
          <w:color w:val="auto"/>
          <w:sz w:val="22"/>
          <w:szCs w:val="22"/>
        </w:rPr>
        <w:t>General financial coaching is available on several different levels in our benefit package.  Services range from individual consultations involving budgeting, credit matters, estate planning, retirement planning, and college funding, general investment subjects, and tax issues.</w:t>
      </w:r>
    </w:p>
    <w:p w14:paraId="3354389A" w14:textId="383CA094" w:rsidR="00C80022" w:rsidRPr="007227E2" w:rsidRDefault="00C80022" w:rsidP="001A6435">
      <w:pPr>
        <w:pStyle w:val="BodyText"/>
        <w:spacing w:line="276" w:lineRule="auto"/>
        <w:rPr>
          <w:rFonts w:asciiTheme="minorHAnsi" w:hAnsiTheme="minorHAnsi" w:cstheme="minorHAnsi"/>
          <w:color w:val="auto"/>
          <w:sz w:val="22"/>
          <w:szCs w:val="22"/>
        </w:rPr>
      </w:pPr>
      <w:r w:rsidRPr="007227E2">
        <w:rPr>
          <w:rFonts w:asciiTheme="minorHAnsi" w:hAnsiTheme="minorHAnsi" w:cstheme="minorHAnsi"/>
          <w:color w:val="auto"/>
          <w:sz w:val="22"/>
          <w:szCs w:val="22"/>
        </w:rPr>
        <w:t>The following is a partial list of the many financial topics available to be discussed with a CLC Financial Coach:</w:t>
      </w:r>
    </w:p>
    <w:p w14:paraId="2A36F199" w14:textId="2151860D" w:rsidR="00C80022" w:rsidRPr="007227E2" w:rsidRDefault="00C80022" w:rsidP="001A6435">
      <w:pPr>
        <w:pStyle w:val="NoSpacing"/>
        <w:spacing w:line="276" w:lineRule="auto"/>
        <w:rPr>
          <w:rFonts w:asciiTheme="minorHAnsi" w:hAnsiTheme="minorHAnsi" w:cstheme="minorHAnsi"/>
        </w:rPr>
      </w:pPr>
    </w:p>
    <w:p w14:paraId="4F90643C" w14:textId="77777777" w:rsidR="00C80022" w:rsidRPr="007227E2" w:rsidRDefault="00C80022" w:rsidP="001A6435">
      <w:pPr>
        <w:pStyle w:val="NoSpacing"/>
        <w:spacing w:line="276" w:lineRule="auto"/>
        <w:rPr>
          <w:rFonts w:asciiTheme="minorHAnsi" w:hAnsiTheme="minorHAnsi" w:cstheme="minorHAnsi"/>
        </w:rPr>
        <w:sectPr w:rsidR="00C80022" w:rsidRPr="007227E2">
          <w:footerReference w:type="default" r:id="rId10"/>
          <w:headerReference w:type="first" r:id="rId11"/>
          <w:pgSz w:w="12240" w:h="15840"/>
          <w:pgMar w:top="720" w:right="720" w:bottom="720" w:left="720" w:header="720" w:footer="349" w:gutter="0"/>
          <w:cols w:space="720"/>
          <w:titlePg/>
        </w:sectPr>
      </w:pPr>
    </w:p>
    <w:p w14:paraId="410C44CF" w14:textId="2888FBF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Budgeting Techniques</w:t>
      </w:r>
    </w:p>
    <w:p w14:paraId="0EB8A360"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 xml:space="preserve">Corporate Bonds </w:t>
      </w:r>
    </w:p>
    <w:p w14:paraId="5C605C1C"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Credit after Bankruptcy</w:t>
      </w:r>
    </w:p>
    <w:p w14:paraId="77BA8DE3"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Credit Cards with Lower Interest Rates</w:t>
      </w:r>
    </w:p>
    <w:p w14:paraId="4AE23700"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Credit Repair Scams</w:t>
      </w:r>
    </w:p>
    <w:p w14:paraId="6364C673"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Credit Reports</w:t>
      </w:r>
    </w:p>
    <w:p w14:paraId="2C1E269C"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Debt Counseling</w:t>
      </w:r>
    </w:p>
    <w:p w14:paraId="1BBBF9AD"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Divorce Planning</w:t>
      </w:r>
    </w:p>
    <w:p w14:paraId="156634DF"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Finding a Financial Advisor</w:t>
      </w:r>
    </w:p>
    <w:p w14:paraId="0D070C62"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Insurance Buying Strategies</w:t>
      </w:r>
    </w:p>
    <w:p w14:paraId="6272B602"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Internet Stock Trading</w:t>
      </w:r>
    </w:p>
    <w:p w14:paraId="65BD6395"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IRA Rollovers</w:t>
      </w:r>
    </w:p>
    <w:p w14:paraId="2DA24ACF"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Medicaid</w:t>
      </w:r>
    </w:p>
    <w:p w14:paraId="461CAE75"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Medicare</w:t>
      </w:r>
    </w:p>
    <w:p w14:paraId="555D8E60"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Money Market Accounts</w:t>
      </w:r>
    </w:p>
    <w:p w14:paraId="012BEAD8"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Mortgages</w:t>
      </w:r>
    </w:p>
    <w:p w14:paraId="0CDD1E83"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Mutual Funds</w:t>
      </w:r>
    </w:p>
    <w:p w14:paraId="19E84A5B"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Negotiating Late Rent/Utility Payments</w:t>
      </w:r>
    </w:p>
    <w:p w14:paraId="7F793DF7"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Renting vs. Buying a Home</w:t>
      </w:r>
    </w:p>
    <w:p w14:paraId="694B1810"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Retirement Planning</w:t>
      </w:r>
    </w:p>
    <w:p w14:paraId="00E712A1"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Reverse Mortgages</w:t>
      </w:r>
    </w:p>
    <w:p w14:paraId="3BC264C8"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Saving For Financial Emergencies</w:t>
      </w:r>
      <w:r w:rsidRPr="007227E2">
        <w:rPr>
          <w:rFonts w:asciiTheme="minorHAnsi" w:hAnsiTheme="minorHAnsi" w:cstheme="minorHAnsi"/>
        </w:rPr>
        <w:tab/>
      </w:r>
    </w:p>
    <w:p w14:paraId="2BA132A3"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Social Security Benefits</w:t>
      </w:r>
    </w:p>
    <w:p w14:paraId="62205E52"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Small Business Financing</w:t>
      </w:r>
    </w:p>
    <w:p w14:paraId="0ECF5818"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Student Loans</w:t>
      </w:r>
    </w:p>
    <w:p w14:paraId="43733E33"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Tax Issues</w:t>
      </w:r>
    </w:p>
    <w:p w14:paraId="37260E2F" w14:textId="77777777" w:rsidR="00C80022" w:rsidRPr="007227E2" w:rsidRDefault="00C80022" w:rsidP="001A6435">
      <w:pPr>
        <w:pStyle w:val="NoSpacing"/>
        <w:numPr>
          <w:ilvl w:val="0"/>
          <w:numId w:val="20"/>
        </w:numPr>
        <w:spacing w:line="276" w:lineRule="auto"/>
        <w:rPr>
          <w:rFonts w:asciiTheme="minorHAnsi" w:hAnsiTheme="minorHAnsi" w:cstheme="minorHAnsi"/>
        </w:rPr>
      </w:pPr>
      <w:r w:rsidRPr="007227E2">
        <w:rPr>
          <w:rFonts w:asciiTheme="minorHAnsi" w:hAnsiTheme="minorHAnsi" w:cstheme="minorHAnsi"/>
        </w:rPr>
        <w:t>U.S. Savings Bonds</w:t>
      </w:r>
    </w:p>
    <w:p w14:paraId="473E4CDE" w14:textId="77777777" w:rsidR="00C80022" w:rsidRPr="007227E2" w:rsidRDefault="00C80022" w:rsidP="001A6435">
      <w:pPr>
        <w:pStyle w:val="NoSpacing"/>
        <w:spacing w:line="276" w:lineRule="auto"/>
        <w:rPr>
          <w:rFonts w:asciiTheme="minorHAnsi" w:hAnsiTheme="minorHAnsi" w:cstheme="minorHAnsi"/>
        </w:rPr>
        <w:sectPr w:rsidR="00C80022" w:rsidRPr="007227E2" w:rsidSect="00C80022">
          <w:type w:val="continuous"/>
          <w:pgSz w:w="12240" w:h="15840"/>
          <w:pgMar w:top="720" w:right="720" w:bottom="720" w:left="720" w:header="720" w:footer="349" w:gutter="0"/>
          <w:cols w:num="3" w:space="720"/>
          <w:titlePg/>
        </w:sectPr>
      </w:pPr>
    </w:p>
    <w:p w14:paraId="49FAEAE1" w14:textId="469A9E6B" w:rsidR="00C80022" w:rsidRPr="007227E2" w:rsidRDefault="00C80022" w:rsidP="001A6435">
      <w:pPr>
        <w:pStyle w:val="NoSpacing"/>
        <w:spacing w:line="276" w:lineRule="auto"/>
        <w:rPr>
          <w:rFonts w:asciiTheme="minorHAnsi" w:hAnsiTheme="minorHAnsi" w:cstheme="minorHAnsi"/>
        </w:rPr>
      </w:pPr>
    </w:p>
    <w:p w14:paraId="34BC40D8" w14:textId="77777777" w:rsidR="00A10B6B" w:rsidRPr="007227E2" w:rsidRDefault="00A10B6B" w:rsidP="001A6435">
      <w:pPr>
        <w:pStyle w:val="NoSpacing"/>
        <w:spacing w:line="276" w:lineRule="auto"/>
        <w:rPr>
          <w:rFonts w:asciiTheme="minorHAnsi" w:hAnsiTheme="minorHAnsi" w:cstheme="minorHAnsi"/>
        </w:rPr>
      </w:pPr>
    </w:p>
    <w:p w14:paraId="1B253E66" w14:textId="77777777" w:rsidR="00A10B6B" w:rsidRPr="007227E2" w:rsidRDefault="00A10B6B" w:rsidP="001A6435">
      <w:pPr>
        <w:spacing w:line="276" w:lineRule="auto"/>
        <w:rPr>
          <w:rFonts w:asciiTheme="minorHAnsi" w:hAnsiTheme="minorHAnsi" w:cstheme="minorHAnsi"/>
          <w:sz w:val="22"/>
          <w:szCs w:val="22"/>
        </w:rPr>
      </w:pPr>
      <w:r w:rsidRPr="007227E2">
        <w:rPr>
          <w:rFonts w:asciiTheme="minorHAnsi" w:hAnsiTheme="minorHAnsi" w:cstheme="minorHAnsi"/>
          <w:b/>
          <w:sz w:val="22"/>
          <w:szCs w:val="22"/>
        </w:rPr>
        <w:t xml:space="preserve">Vidant team members and their benefit-eligible family members can call the Employee Assistance Program at 252-847-4357 to access these confidential services. </w:t>
      </w:r>
    </w:p>
    <w:p w14:paraId="1A8A29A9" w14:textId="326507C7" w:rsidR="00C80022" w:rsidRPr="007227E2" w:rsidRDefault="00C80022" w:rsidP="001A6435">
      <w:pPr>
        <w:spacing w:line="276" w:lineRule="auto"/>
        <w:rPr>
          <w:rFonts w:asciiTheme="minorHAnsi" w:hAnsiTheme="minorHAnsi" w:cstheme="minorHAnsi"/>
          <w:b/>
          <w:sz w:val="22"/>
          <w:szCs w:val="22"/>
        </w:rPr>
      </w:pPr>
    </w:p>
    <w:p w14:paraId="68E81D94" w14:textId="77777777" w:rsidR="00A10B6B" w:rsidRPr="007227E2" w:rsidRDefault="00A10B6B" w:rsidP="001A6435">
      <w:pPr>
        <w:spacing w:line="276" w:lineRule="auto"/>
        <w:rPr>
          <w:rFonts w:asciiTheme="minorHAnsi" w:hAnsiTheme="minorHAnsi" w:cstheme="minorHAnsi"/>
          <w:b/>
          <w:sz w:val="22"/>
          <w:szCs w:val="22"/>
        </w:rPr>
      </w:pPr>
    </w:p>
    <w:p w14:paraId="416D080B" w14:textId="267151F5" w:rsidR="00C80022" w:rsidRPr="007227E2" w:rsidRDefault="00C80022" w:rsidP="001A6435">
      <w:pPr>
        <w:spacing w:line="276" w:lineRule="auto"/>
        <w:rPr>
          <w:rFonts w:asciiTheme="minorHAnsi" w:hAnsiTheme="minorHAnsi" w:cstheme="minorHAnsi"/>
          <w:i/>
          <w:sz w:val="22"/>
          <w:szCs w:val="22"/>
        </w:rPr>
      </w:pPr>
      <w:r w:rsidRPr="007227E2">
        <w:rPr>
          <w:rFonts w:asciiTheme="minorHAnsi" w:hAnsiTheme="minorHAnsi" w:cstheme="minorHAnsi"/>
          <w:i/>
          <w:sz w:val="22"/>
          <w:szCs w:val="22"/>
        </w:rPr>
        <w:t xml:space="preserve">Matters involving disputes or actions between </w:t>
      </w:r>
      <w:r w:rsidR="00A10B6B" w:rsidRPr="007227E2">
        <w:rPr>
          <w:rFonts w:asciiTheme="minorHAnsi" w:hAnsiTheme="minorHAnsi" w:cstheme="minorHAnsi"/>
          <w:i/>
          <w:sz w:val="22"/>
          <w:szCs w:val="22"/>
        </w:rPr>
        <w:t xml:space="preserve">team </w:t>
      </w:r>
      <w:r w:rsidRPr="007227E2">
        <w:rPr>
          <w:rFonts w:asciiTheme="minorHAnsi" w:hAnsiTheme="minorHAnsi" w:cstheme="minorHAnsi"/>
          <w:i/>
          <w:sz w:val="22"/>
          <w:szCs w:val="22"/>
        </w:rPr>
        <w:t xml:space="preserve">members and their employer, CLC or its plan sponsors, agents or their officers, directors or employees are specifically excluded from eligibility of this plan.  Also excluded are matters that, in the attorney’s opinion, lack merit.  Court costs, filing fees and fines are the responsibility of the </w:t>
      </w:r>
      <w:r w:rsidR="00A10B6B" w:rsidRPr="007227E2">
        <w:rPr>
          <w:rFonts w:asciiTheme="minorHAnsi" w:hAnsiTheme="minorHAnsi" w:cstheme="minorHAnsi"/>
          <w:i/>
          <w:sz w:val="22"/>
          <w:szCs w:val="22"/>
        </w:rPr>
        <w:t xml:space="preserve">team </w:t>
      </w:r>
      <w:r w:rsidRPr="007227E2">
        <w:rPr>
          <w:rFonts w:asciiTheme="minorHAnsi" w:hAnsiTheme="minorHAnsi" w:cstheme="minorHAnsi"/>
          <w:i/>
          <w:sz w:val="22"/>
          <w:szCs w:val="22"/>
        </w:rPr>
        <w:t>member</w:t>
      </w:r>
      <w:r w:rsidR="00A10B6B" w:rsidRPr="007227E2">
        <w:rPr>
          <w:rFonts w:asciiTheme="minorHAnsi" w:hAnsiTheme="minorHAnsi" w:cstheme="minorHAnsi"/>
          <w:i/>
          <w:sz w:val="22"/>
          <w:szCs w:val="22"/>
        </w:rPr>
        <w:t>.</w:t>
      </w:r>
    </w:p>
    <w:p w14:paraId="73555ACF" w14:textId="0EF30B25" w:rsidR="00E11108" w:rsidRPr="00272295" w:rsidRDefault="00E76C2C" w:rsidP="00E11108">
      <w:pPr>
        <w:pStyle w:val="A-Copy"/>
        <w:spacing w:line="240" w:lineRule="auto"/>
        <w:rPr>
          <w:rFonts w:ascii="Calibri" w:hAnsi="Calibri"/>
        </w:rPr>
      </w:pPr>
      <w:bookmarkStart w:id="0" w:name="_GoBack"/>
      <w:bookmarkEnd w:id="0"/>
    </w:p>
    <w:sectPr w:rsidR="00E11108" w:rsidRPr="00272295" w:rsidSect="00C80022">
      <w:type w:val="continuous"/>
      <w:pgSz w:w="12240" w:h="15840"/>
      <w:pgMar w:top="720" w:right="720" w:bottom="720" w:left="720" w:header="720" w:footer="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5AD8" w14:textId="77777777" w:rsidR="00E11108" w:rsidRDefault="00D6309D">
      <w:r>
        <w:separator/>
      </w:r>
    </w:p>
  </w:endnote>
  <w:endnote w:type="continuationSeparator" w:id="0">
    <w:p w14:paraId="73555AD9" w14:textId="77777777" w:rsidR="00E11108" w:rsidRDefault="00D6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5ADA" w14:textId="06E33F2B" w:rsidR="00E11108" w:rsidRDefault="00E76C2C">
    <w:pPr>
      <w:tabs>
        <w:tab w:val="right" w:pos="10800"/>
      </w:tabs>
      <w:spacing w:after="100"/>
      <w:rPr>
        <w:rFonts w:ascii="Arial" w:hAnsi="Arial"/>
        <w:color w:val="005596"/>
        <w:spacing w:val="20"/>
        <w:sz w:val="22"/>
        <w:u w:val="single" w:color="00A0AF"/>
      </w:rPr>
    </w:pPr>
    <w:r>
      <w:rPr>
        <w:rFonts w:ascii="Arial" w:hAnsi="Arial"/>
        <w:color w:val="005596"/>
        <w:spacing w:val="20"/>
        <w:sz w:val="22"/>
        <w:u w:val="single" w:color="00A0AF"/>
      </w:rPr>
      <w:t>EAP Financia</w:t>
    </w:r>
    <w:r w:rsidR="005E0F6C">
      <w:rPr>
        <w:rFonts w:ascii="Arial" w:hAnsi="Arial"/>
        <w:color w:val="005596"/>
        <w:spacing w:val="20"/>
        <w:sz w:val="22"/>
        <w:u w:val="single" w:color="00A0AF"/>
      </w:rPr>
      <w:t xml:space="preserve">l Services </w:t>
    </w:r>
    <w:r w:rsidR="00D6309D">
      <w:rPr>
        <w:rFonts w:ascii="Arial" w:hAnsi="Arial"/>
        <w:color w:val="005596"/>
        <w:spacing w:val="20"/>
        <w:sz w:val="22"/>
        <w:u w:val="single" w:color="00A0AF"/>
      </w:rPr>
      <w:tab/>
      <w:t xml:space="preserve">Page </w:t>
    </w:r>
    <w:r w:rsidR="00D6309D">
      <w:rPr>
        <w:color w:val="005596"/>
        <w:spacing w:val="20"/>
        <w:sz w:val="22"/>
        <w:u w:val="single" w:color="00A0AF"/>
      </w:rPr>
      <w:fldChar w:fldCharType="begin"/>
    </w:r>
    <w:r w:rsidR="00D6309D">
      <w:rPr>
        <w:rFonts w:ascii="Arial" w:hAnsi="Arial"/>
        <w:color w:val="005596"/>
        <w:spacing w:val="20"/>
        <w:sz w:val="22"/>
        <w:u w:val="single" w:color="00A0AF"/>
      </w:rPr>
      <w:instrText xml:space="preserve"> PAGE </w:instrText>
    </w:r>
    <w:r w:rsidR="00D6309D">
      <w:rPr>
        <w:rFonts w:ascii="Arial" w:hAnsi="Arial"/>
        <w:color w:val="005596"/>
        <w:spacing w:val="20"/>
        <w:sz w:val="22"/>
        <w:u w:val="single" w:color="00A0AF"/>
      </w:rPr>
      <w:fldChar w:fldCharType="separate"/>
    </w:r>
    <w:r>
      <w:rPr>
        <w:rFonts w:ascii="Arial" w:hAnsi="Arial"/>
        <w:noProof/>
        <w:color w:val="005596"/>
        <w:spacing w:val="20"/>
        <w:sz w:val="22"/>
        <w:u w:val="single" w:color="00A0AF"/>
      </w:rPr>
      <w:t>2</w:t>
    </w:r>
    <w:r w:rsidR="00D6309D">
      <w:rPr>
        <w:rFonts w:ascii="Arial" w:hAnsi="Arial"/>
        <w:color w:val="005596"/>
        <w:spacing w:val="20"/>
        <w:sz w:val="22"/>
        <w:u w:val="single" w:color="00A0AF"/>
      </w:rPr>
      <w:fldChar w:fldCharType="end"/>
    </w:r>
    <w:r w:rsidR="00D6309D">
      <w:rPr>
        <w:rFonts w:ascii="Arial" w:hAnsi="Arial"/>
        <w:color w:val="005596"/>
        <w:spacing w:val="20"/>
        <w:sz w:val="22"/>
        <w:u w:val="single" w:color="00A0AF"/>
      </w:rPr>
      <w:t xml:space="preserve"> of </w:t>
    </w:r>
    <w:r w:rsidR="00D6309D">
      <w:rPr>
        <w:rFonts w:ascii="Arial" w:hAnsi="Arial"/>
        <w:color w:val="005596"/>
        <w:spacing w:val="20"/>
        <w:sz w:val="22"/>
        <w:u w:val="single" w:color="00A0AF"/>
      </w:rPr>
      <w:fldChar w:fldCharType="begin"/>
    </w:r>
    <w:r w:rsidR="00D6309D">
      <w:rPr>
        <w:rFonts w:ascii="Arial" w:hAnsi="Arial"/>
        <w:color w:val="005596"/>
        <w:spacing w:val="20"/>
        <w:sz w:val="22"/>
        <w:u w:val="single" w:color="00A0AF"/>
      </w:rPr>
      <w:instrText xml:space="preserve"> NUMPAGES </w:instrText>
    </w:r>
    <w:r w:rsidR="00D6309D">
      <w:rPr>
        <w:rFonts w:ascii="Arial" w:hAnsi="Arial"/>
        <w:color w:val="005596"/>
        <w:spacing w:val="20"/>
        <w:sz w:val="22"/>
        <w:u w:val="single" w:color="00A0AF"/>
      </w:rPr>
      <w:fldChar w:fldCharType="separate"/>
    </w:r>
    <w:r>
      <w:rPr>
        <w:rFonts w:ascii="Arial" w:hAnsi="Arial"/>
        <w:noProof/>
        <w:color w:val="005596"/>
        <w:spacing w:val="20"/>
        <w:sz w:val="22"/>
        <w:u w:val="single" w:color="00A0AF"/>
      </w:rPr>
      <w:t>2</w:t>
    </w:r>
    <w:r w:rsidR="00D6309D">
      <w:rPr>
        <w:rFonts w:ascii="Arial" w:hAnsi="Arial"/>
        <w:color w:val="005596"/>
        <w:spacing w:val="20"/>
        <w:sz w:val="22"/>
        <w:u w:val="single" w:color="00A0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5AD6" w14:textId="77777777" w:rsidR="00E11108" w:rsidRDefault="00D6309D">
      <w:r>
        <w:separator/>
      </w:r>
    </w:p>
  </w:footnote>
  <w:footnote w:type="continuationSeparator" w:id="0">
    <w:p w14:paraId="73555AD7" w14:textId="77777777" w:rsidR="00E11108" w:rsidRDefault="00D6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5ADB" w14:textId="77777777" w:rsidR="00E11108" w:rsidRDefault="00D6309D">
    <w:r>
      <w:rPr>
        <w:noProof/>
      </w:rPr>
      <mc:AlternateContent>
        <mc:Choice Requires="wps">
          <w:drawing>
            <wp:anchor distT="0" distB="0" distL="114300" distR="114300" simplePos="0" relativeHeight="251660288" behindDoc="0" locked="0" layoutInCell="1" allowOverlap="1" wp14:anchorId="73555ADC" wp14:editId="73555ADD">
              <wp:simplePos x="0" y="0"/>
              <wp:positionH relativeFrom="column">
                <wp:posOffset>165735</wp:posOffset>
              </wp:positionH>
              <wp:positionV relativeFrom="paragraph">
                <wp:posOffset>231140</wp:posOffset>
              </wp:positionV>
              <wp:extent cx="4686300" cy="457200"/>
              <wp:effectExtent l="3810" t="254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55AE6" w14:textId="7C236000" w:rsidR="00E11108" w:rsidRPr="00C80022" w:rsidRDefault="00C80022">
                          <w:pPr>
                            <w:pStyle w:val="BodyText"/>
                            <w:rPr>
                              <w:rFonts w:ascii="Calibri" w:hAnsi="Calibri"/>
                              <w:b/>
                            </w:rPr>
                          </w:pPr>
                          <w:r w:rsidRPr="00C80022">
                            <w:rPr>
                              <w:rFonts w:ascii="Calibri" w:hAnsi="Calibri"/>
                              <w:b/>
                            </w:rPr>
                            <w:t>EAP Financial Services</w:t>
                          </w:r>
                        </w:p>
                        <w:p w14:paraId="73555AE7" w14:textId="77777777" w:rsidR="00E11108" w:rsidRDefault="00E76C2C">
                          <w:pPr>
                            <w:rPr>
                              <w:rFonts w:ascii="Arial" w:hAnsi="Arial"/>
                              <w:color w:val="00A0AF"/>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55ADC" id="_x0000_t202" coordsize="21600,21600" o:spt="202" path="m,l,21600r21600,l21600,xe">
              <v:stroke joinstyle="miter"/>
              <v:path gradientshapeok="t" o:connecttype="rect"/>
            </v:shapetype>
            <v:shape id="Text Box 19" o:spid="_x0000_s1026" type="#_x0000_t202" style="position:absolute;margin-left:13.05pt;margin-top:18.2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teqwIAAKo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" filled="f" stroked="f">
              <v:textbox inset="0,0,0,0">
                <w:txbxContent>
                  <w:p w14:paraId="73555AE6" w14:textId="7C236000" w:rsidR="00E11108" w:rsidRPr="00C80022" w:rsidRDefault="00C80022">
                    <w:pPr>
                      <w:pStyle w:val="BodyText"/>
                      <w:rPr>
                        <w:rFonts w:ascii="Calibri" w:hAnsi="Calibri"/>
                        <w:b/>
                      </w:rPr>
                    </w:pPr>
                    <w:r w:rsidRPr="00C80022">
                      <w:rPr>
                        <w:rFonts w:ascii="Calibri" w:hAnsi="Calibri"/>
                        <w:b/>
                      </w:rPr>
                      <w:t>EAP Financial Services</w:t>
                    </w:r>
                  </w:p>
                  <w:p w14:paraId="73555AE7" w14:textId="77777777" w:rsidR="00E11108" w:rsidRDefault="007227E2">
                    <w:pPr>
                      <w:rPr>
                        <w:rFonts w:ascii="Arial" w:hAnsi="Arial"/>
                        <w:color w:val="00A0AF"/>
                        <w:sz w:val="48"/>
                      </w:rPr>
                    </w:pPr>
                  </w:p>
                </w:txbxContent>
              </v:textbox>
            </v:shape>
          </w:pict>
        </mc:Fallback>
      </mc:AlternateContent>
    </w:r>
    <w:r>
      <w:rPr>
        <w:noProof/>
      </w:rPr>
      <w:drawing>
        <wp:anchor distT="347345" distB="228600" distL="114300" distR="114300" simplePos="0" relativeHeight="251656192" behindDoc="0" locked="0" layoutInCell="1" allowOverlap="1" wp14:anchorId="73555ADE" wp14:editId="73555ADF">
          <wp:simplePos x="0" y="0"/>
          <wp:positionH relativeFrom="page">
            <wp:align>center</wp:align>
          </wp:positionH>
          <wp:positionV relativeFrom="page">
            <wp:posOffset>457200</wp:posOffset>
          </wp:positionV>
          <wp:extent cx="6862445" cy="853440"/>
          <wp:effectExtent l="0" t="0" r="0" b="0"/>
          <wp:wrapTopAndBottom/>
          <wp:docPr id="26" name="Picture 26" descr="Word Template4_small_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 Template4_small_V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44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088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C638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CE054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2DA98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A8C4A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DA6D8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14A2A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17A4D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C623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DAEF2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E09C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914A6C5E"/>
    <w:lvl w:ilvl="0">
      <w:numFmt w:val="decimal"/>
      <w:lvlText w:val="*"/>
      <w:lvlJc w:val="left"/>
    </w:lvl>
  </w:abstractNum>
  <w:abstractNum w:abstractNumId="12" w15:restartNumberingAfterBreak="0">
    <w:nsid w:val="05B64773"/>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08374B72"/>
    <w:multiLevelType w:val="hybridMultilevel"/>
    <w:tmpl w:val="3460BB48"/>
    <w:lvl w:ilvl="0" w:tplc="416C5426">
      <w:start w:val="1"/>
      <w:numFmt w:val="decimal"/>
      <w:lvlText w:val="%1."/>
      <w:lvlJc w:val="left"/>
      <w:pPr>
        <w:tabs>
          <w:tab w:val="num" w:pos="720"/>
        </w:tabs>
        <w:ind w:left="720" w:hanging="360"/>
      </w:pPr>
    </w:lvl>
    <w:lvl w:ilvl="1" w:tplc="89E6B130" w:tentative="1">
      <w:start w:val="1"/>
      <w:numFmt w:val="lowerLetter"/>
      <w:lvlText w:val="%2."/>
      <w:lvlJc w:val="left"/>
      <w:pPr>
        <w:tabs>
          <w:tab w:val="num" w:pos="1440"/>
        </w:tabs>
        <w:ind w:left="1440" w:hanging="360"/>
      </w:pPr>
    </w:lvl>
    <w:lvl w:ilvl="2" w:tplc="134A7654" w:tentative="1">
      <w:start w:val="1"/>
      <w:numFmt w:val="lowerRoman"/>
      <w:lvlText w:val="%3."/>
      <w:lvlJc w:val="right"/>
      <w:pPr>
        <w:tabs>
          <w:tab w:val="num" w:pos="2160"/>
        </w:tabs>
        <w:ind w:left="2160" w:hanging="180"/>
      </w:pPr>
    </w:lvl>
    <w:lvl w:ilvl="3" w:tplc="00DC55F4" w:tentative="1">
      <w:start w:val="1"/>
      <w:numFmt w:val="decimal"/>
      <w:lvlText w:val="%4."/>
      <w:lvlJc w:val="left"/>
      <w:pPr>
        <w:tabs>
          <w:tab w:val="num" w:pos="2880"/>
        </w:tabs>
        <w:ind w:left="2880" w:hanging="360"/>
      </w:pPr>
    </w:lvl>
    <w:lvl w:ilvl="4" w:tplc="FA60FFF0" w:tentative="1">
      <w:start w:val="1"/>
      <w:numFmt w:val="lowerLetter"/>
      <w:lvlText w:val="%5."/>
      <w:lvlJc w:val="left"/>
      <w:pPr>
        <w:tabs>
          <w:tab w:val="num" w:pos="3600"/>
        </w:tabs>
        <w:ind w:left="3600" w:hanging="360"/>
      </w:pPr>
    </w:lvl>
    <w:lvl w:ilvl="5" w:tplc="5CA0D328" w:tentative="1">
      <w:start w:val="1"/>
      <w:numFmt w:val="lowerRoman"/>
      <w:lvlText w:val="%6."/>
      <w:lvlJc w:val="right"/>
      <w:pPr>
        <w:tabs>
          <w:tab w:val="num" w:pos="4320"/>
        </w:tabs>
        <w:ind w:left="4320" w:hanging="180"/>
      </w:pPr>
    </w:lvl>
    <w:lvl w:ilvl="6" w:tplc="678601F2" w:tentative="1">
      <w:start w:val="1"/>
      <w:numFmt w:val="decimal"/>
      <w:lvlText w:val="%7."/>
      <w:lvlJc w:val="left"/>
      <w:pPr>
        <w:tabs>
          <w:tab w:val="num" w:pos="5040"/>
        </w:tabs>
        <w:ind w:left="5040" w:hanging="360"/>
      </w:pPr>
    </w:lvl>
    <w:lvl w:ilvl="7" w:tplc="1868906C" w:tentative="1">
      <w:start w:val="1"/>
      <w:numFmt w:val="lowerLetter"/>
      <w:lvlText w:val="%8."/>
      <w:lvlJc w:val="left"/>
      <w:pPr>
        <w:tabs>
          <w:tab w:val="num" w:pos="5760"/>
        </w:tabs>
        <w:ind w:left="5760" w:hanging="360"/>
      </w:pPr>
    </w:lvl>
    <w:lvl w:ilvl="8" w:tplc="0BA2C834" w:tentative="1">
      <w:start w:val="1"/>
      <w:numFmt w:val="lowerRoman"/>
      <w:lvlText w:val="%9."/>
      <w:lvlJc w:val="right"/>
      <w:pPr>
        <w:tabs>
          <w:tab w:val="num" w:pos="6480"/>
        </w:tabs>
        <w:ind w:left="6480" w:hanging="180"/>
      </w:pPr>
    </w:lvl>
  </w:abstractNum>
  <w:abstractNum w:abstractNumId="14" w15:restartNumberingAfterBreak="0">
    <w:nsid w:val="0B1F56E5"/>
    <w:multiLevelType w:val="hybridMultilevel"/>
    <w:tmpl w:val="A3E4F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BC3233"/>
    <w:multiLevelType w:val="hybridMultilevel"/>
    <w:tmpl w:val="8A10EF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285FDA"/>
    <w:multiLevelType w:val="hybridMultilevel"/>
    <w:tmpl w:val="074069E0"/>
    <w:lvl w:ilvl="0" w:tplc="D4CAE196">
      <w:start w:val="1"/>
      <w:numFmt w:val="decimal"/>
      <w:lvlText w:val="%1."/>
      <w:lvlJc w:val="left"/>
      <w:pPr>
        <w:tabs>
          <w:tab w:val="num" w:pos="720"/>
        </w:tabs>
        <w:ind w:left="720" w:hanging="360"/>
      </w:pPr>
    </w:lvl>
    <w:lvl w:ilvl="1" w:tplc="E9308052" w:tentative="1">
      <w:start w:val="1"/>
      <w:numFmt w:val="lowerLetter"/>
      <w:lvlText w:val="%2."/>
      <w:lvlJc w:val="left"/>
      <w:pPr>
        <w:tabs>
          <w:tab w:val="num" w:pos="1440"/>
        </w:tabs>
        <w:ind w:left="1440" w:hanging="360"/>
      </w:pPr>
    </w:lvl>
    <w:lvl w:ilvl="2" w:tplc="6A5EF218" w:tentative="1">
      <w:start w:val="1"/>
      <w:numFmt w:val="lowerRoman"/>
      <w:lvlText w:val="%3."/>
      <w:lvlJc w:val="right"/>
      <w:pPr>
        <w:tabs>
          <w:tab w:val="num" w:pos="2160"/>
        </w:tabs>
        <w:ind w:left="2160" w:hanging="180"/>
      </w:pPr>
    </w:lvl>
    <w:lvl w:ilvl="3" w:tplc="16226156" w:tentative="1">
      <w:start w:val="1"/>
      <w:numFmt w:val="decimal"/>
      <w:lvlText w:val="%4."/>
      <w:lvlJc w:val="left"/>
      <w:pPr>
        <w:tabs>
          <w:tab w:val="num" w:pos="2880"/>
        </w:tabs>
        <w:ind w:left="2880" w:hanging="360"/>
      </w:pPr>
    </w:lvl>
    <w:lvl w:ilvl="4" w:tplc="84C6349C" w:tentative="1">
      <w:start w:val="1"/>
      <w:numFmt w:val="lowerLetter"/>
      <w:lvlText w:val="%5."/>
      <w:lvlJc w:val="left"/>
      <w:pPr>
        <w:tabs>
          <w:tab w:val="num" w:pos="3600"/>
        </w:tabs>
        <w:ind w:left="3600" w:hanging="360"/>
      </w:pPr>
    </w:lvl>
    <w:lvl w:ilvl="5" w:tplc="B5D8BFCA" w:tentative="1">
      <w:start w:val="1"/>
      <w:numFmt w:val="lowerRoman"/>
      <w:lvlText w:val="%6."/>
      <w:lvlJc w:val="right"/>
      <w:pPr>
        <w:tabs>
          <w:tab w:val="num" w:pos="4320"/>
        </w:tabs>
        <w:ind w:left="4320" w:hanging="180"/>
      </w:pPr>
    </w:lvl>
    <w:lvl w:ilvl="6" w:tplc="590EEED8" w:tentative="1">
      <w:start w:val="1"/>
      <w:numFmt w:val="decimal"/>
      <w:lvlText w:val="%7."/>
      <w:lvlJc w:val="left"/>
      <w:pPr>
        <w:tabs>
          <w:tab w:val="num" w:pos="5040"/>
        </w:tabs>
        <w:ind w:left="5040" w:hanging="360"/>
      </w:pPr>
    </w:lvl>
    <w:lvl w:ilvl="7" w:tplc="642AFAA6" w:tentative="1">
      <w:start w:val="1"/>
      <w:numFmt w:val="lowerLetter"/>
      <w:lvlText w:val="%8."/>
      <w:lvlJc w:val="left"/>
      <w:pPr>
        <w:tabs>
          <w:tab w:val="num" w:pos="5760"/>
        </w:tabs>
        <w:ind w:left="5760" w:hanging="360"/>
      </w:pPr>
    </w:lvl>
    <w:lvl w:ilvl="8" w:tplc="43568E64" w:tentative="1">
      <w:start w:val="1"/>
      <w:numFmt w:val="lowerRoman"/>
      <w:lvlText w:val="%9."/>
      <w:lvlJc w:val="right"/>
      <w:pPr>
        <w:tabs>
          <w:tab w:val="num" w:pos="6480"/>
        </w:tabs>
        <w:ind w:left="6480" w:hanging="180"/>
      </w:pPr>
    </w:lvl>
  </w:abstractNum>
  <w:abstractNum w:abstractNumId="17" w15:restartNumberingAfterBreak="0">
    <w:nsid w:val="44AE7E1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71F473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5B7134"/>
    <w:multiLevelType w:val="hybridMultilevel"/>
    <w:tmpl w:val="52701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7"/>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3"/>
  </w:num>
  <w:num w:numId="17">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95"/>
    <w:rsid w:val="001A6435"/>
    <w:rsid w:val="00272295"/>
    <w:rsid w:val="00343E67"/>
    <w:rsid w:val="005E0F6C"/>
    <w:rsid w:val="007227E2"/>
    <w:rsid w:val="00891FC7"/>
    <w:rsid w:val="00A10B6B"/>
    <w:rsid w:val="00C80022"/>
    <w:rsid w:val="00CF78A5"/>
    <w:rsid w:val="00D6309D"/>
    <w:rsid w:val="00E7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3555AB4"/>
  <w15:chartTrackingRefBased/>
  <w15:docId w15:val="{273217E8-6338-46CD-A881-A415A702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imes" w:hAnsi="Times"/>
      <w:sz w:val="24"/>
      <w:szCs w:val="24"/>
    </w:rPr>
  </w:style>
  <w:style w:type="paragraph" w:styleId="Heading1">
    <w:name w:val="heading 1"/>
    <w:basedOn w:val="Normal"/>
    <w:next w:val="Normal"/>
    <w:qFormat/>
    <w:pPr>
      <w:keepNext/>
      <w:numPr>
        <w:numId w:val="3"/>
      </w:numPr>
      <w:spacing w:before="240" w:after="60"/>
      <w:outlineLvl w:val="0"/>
    </w:pPr>
    <w:rPr>
      <w:rFonts w:ascii="Arial" w:eastAsia="Times" w:hAnsi="Arial" w:cs="Arial"/>
      <w:b/>
      <w:bCs/>
      <w:kern w:val="32"/>
      <w:sz w:val="32"/>
      <w:szCs w:val="32"/>
    </w:rPr>
  </w:style>
  <w:style w:type="paragraph" w:styleId="Heading4">
    <w:name w:val="heading 4"/>
    <w:basedOn w:val="Normal"/>
    <w:next w:val="Normal"/>
    <w:qFormat/>
    <w:pPr>
      <w:keepNext/>
      <w:numPr>
        <w:ilvl w:val="3"/>
        <w:numId w:val="3"/>
      </w:numPr>
      <w:spacing w:before="240" w:after="60"/>
      <w:outlineLvl w:val="3"/>
    </w:pPr>
    <w:rPr>
      <w:b/>
      <w:sz w:val="28"/>
      <w:szCs w:val="28"/>
    </w:rPr>
  </w:style>
  <w:style w:type="paragraph" w:styleId="Heading5">
    <w:name w:val="heading 5"/>
    <w:basedOn w:val="Normal"/>
    <w:next w:val="Normal"/>
    <w:qFormat/>
    <w:pPr>
      <w:numPr>
        <w:ilvl w:val="4"/>
        <w:numId w:val="3"/>
      </w:numPr>
      <w:spacing w:before="240" w:after="60"/>
      <w:outlineLvl w:val="4"/>
    </w:pPr>
    <w:rPr>
      <w:b/>
      <w:i/>
      <w:sz w:val="26"/>
      <w:szCs w:val="26"/>
    </w:rPr>
  </w:style>
  <w:style w:type="paragraph" w:styleId="Heading6">
    <w:name w:val="heading 6"/>
    <w:basedOn w:val="Normal"/>
    <w:next w:val="Normal"/>
    <w:qFormat/>
    <w:pPr>
      <w:numPr>
        <w:ilvl w:val="5"/>
        <w:numId w:val="3"/>
      </w:numPr>
      <w:spacing w:before="240" w:after="60"/>
      <w:outlineLvl w:val="5"/>
    </w:pPr>
    <w:rPr>
      <w:b/>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olor w:val="FFFFFF"/>
      <w:sz w:val="48"/>
    </w:rPr>
  </w:style>
  <w:style w:type="paragraph" w:customStyle="1" w:styleId="A-Copy">
    <w:name w:val="A-Copy"/>
    <w:basedOn w:val="Normal"/>
    <w:pPr>
      <w:spacing w:after="140" w:line="300" w:lineRule="exact"/>
    </w:pPr>
    <w:rPr>
      <w:rFonts w:ascii="Arial" w:hAnsi="Arial"/>
    </w:rPr>
  </w:style>
  <w:style w:type="paragraph" w:customStyle="1" w:styleId="A-Subhead">
    <w:name w:val="A-Subhead"/>
    <w:basedOn w:val="Normal"/>
    <w:pPr>
      <w:spacing w:after="40" w:line="300" w:lineRule="exact"/>
    </w:pPr>
    <w:rPr>
      <w:rFonts w:ascii="Arial" w:hAnsi="Arial"/>
      <w:b/>
    </w:rPr>
  </w:style>
  <w:style w:type="paragraph" w:styleId="NormalWeb">
    <w:name w:val="Normal (Web)"/>
    <w:basedOn w:val="Normal"/>
    <w:rsid w:val="00C80022"/>
    <w:pPr>
      <w:autoSpaceDE/>
      <w:autoSpaceDN/>
      <w:adjustRightInd/>
      <w:spacing w:after="190" w:line="190" w:lineRule="atLeast"/>
      <w:jc w:val="both"/>
    </w:pPr>
    <w:rPr>
      <w:rFonts w:ascii="Arial Unicode MS" w:eastAsia="Arial Unicode MS" w:hAnsi="Arial Unicode MS" w:cs="Arial Unicode MS"/>
      <w:sz w:val="15"/>
      <w:szCs w:val="15"/>
    </w:rPr>
  </w:style>
  <w:style w:type="paragraph" w:styleId="ListParagraph">
    <w:name w:val="List Paragraph"/>
    <w:basedOn w:val="Normal"/>
    <w:qFormat/>
    <w:rsid w:val="00C80022"/>
    <w:pPr>
      <w:autoSpaceDE/>
      <w:autoSpaceDN/>
      <w:adjustRightInd/>
      <w:ind w:left="720"/>
    </w:pPr>
    <w:rPr>
      <w:rFonts w:ascii="Times New Roman" w:hAnsi="Times New Roman"/>
    </w:rPr>
  </w:style>
  <w:style w:type="paragraph" w:styleId="NoSpacing">
    <w:name w:val="No Spacing"/>
    <w:uiPriority w:val="1"/>
    <w:qFormat/>
    <w:rsid w:val="00C8002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896C7D58F6140AADDF173C54C245D" ma:contentTypeVersion="2" ma:contentTypeDescription="Create a new document." ma:contentTypeScope="" ma:versionID="8126cf854f95ba3669a5445e7b943ad2">
  <xsd:schema xmlns:xsd="http://www.w3.org/2001/XMLSchema" xmlns:xs="http://www.w3.org/2001/XMLSchema" xmlns:p="http://schemas.microsoft.com/office/2006/metadata/properties" xmlns:ns2="779d2682-8b4c-4808-b43e-bbf089c9b476" xmlns:ns3="b030343e-b201-45a6-a5a0-0396aa161d48" targetNamespace="http://schemas.microsoft.com/office/2006/metadata/properties" ma:root="true" ma:fieldsID="e20f1bd06399d0c866df35c1404bcf63" ns2:_="" ns3:_="">
    <xsd:import namespace="779d2682-8b4c-4808-b43e-bbf089c9b476"/>
    <xsd:import namespace="b030343e-b201-45a6-a5a0-0396aa161d48"/>
    <xsd:element name="properties">
      <xsd:complexType>
        <xsd:sequence>
          <xsd:element name="documentManagement">
            <xsd:complexType>
              <xsd:all>
                <xsd:element ref="ns2:Document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2682-8b4c-4808-b43e-bbf089c9b476" elementFormDefault="qualified">
    <xsd:import namespace="http://schemas.microsoft.com/office/2006/documentManagement/types"/>
    <xsd:import namespace="http://schemas.microsoft.com/office/infopath/2007/PartnerControls"/>
    <xsd:element name="Document_x0020_Type" ma:index="8" nillable="true" ma:displayName="Document Type" ma:default="C.A.R.E.S" ma:format="Dropdown" ma:internalName="Document_x0020_Type">
      <xsd:simpleType>
        <xsd:restriction base="dms:Choice">
          <xsd:enumeration value="C.A.R.E.S"/>
          <xsd:enumeration value="Substance Abuse"/>
        </xsd:restriction>
      </xsd:simpleType>
    </xsd:element>
  </xsd:schema>
  <xsd:schema xmlns:xsd="http://www.w3.org/2001/XMLSchema" xmlns:xs="http://www.w3.org/2001/XMLSchema" xmlns:dms="http://schemas.microsoft.com/office/2006/documentManagement/types" xmlns:pc="http://schemas.microsoft.com/office/infopath/2007/PartnerControls" targetNamespace="b030343e-b201-45a6-a5a0-0396aa161d4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79d2682-8b4c-4808-b43e-bbf089c9b476">C.A.R.E.S</Document_x0020_Type>
  </documentManagement>
</p:properties>
</file>

<file path=customXml/itemProps1.xml><?xml version="1.0" encoding="utf-8"?>
<ds:datastoreItem xmlns:ds="http://schemas.openxmlformats.org/officeDocument/2006/customXml" ds:itemID="{2B08C93C-0092-4C78-BCA3-40096CD39FED}"/>
</file>

<file path=customXml/itemProps2.xml><?xml version="1.0" encoding="utf-8"?>
<ds:datastoreItem xmlns:ds="http://schemas.openxmlformats.org/officeDocument/2006/customXml" ds:itemID="{98FE7B1E-A626-4450-9A49-DA08EE9D8C4A}"/>
</file>

<file path=customXml/itemProps3.xml><?xml version="1.0" encoding="utf-8"?>
<ds:datastoreItem xmlns:ds="http://schemas.openxmlformats.org/officeDocument/2006/customXml" ds:itemID="{6C24A367-47C4-49E5-994E-3798D973604A}"/>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Pitt County Memorial Hospital</Company>
  <LinksUpToDate>false</LinksUpToDate>
  <CharactersWithSpaces>6138</CharactersWithSpaces>
  <SharedDoc>false</SharedDoc>
  <HLinks>
    <vt:vector size="6" baseType="variant">
      <vt:variant>
        <vt:i4>6094902</vt:i4>
      </vt:variant>
      <vt:variant>
        <vt:i4>-1</vt:i4>
      </vt:variant>
      <vt:variant>
        <vt:i4>2074</vt:i4>
      </vt:variant>
      <vt:variant>
        <vt:i4>1</vt:i4>
      </vt:variant>
      <vt:variant>
        <vt:lpwstr>Word Template4_small_VH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Summerlin</dc:creator>
  <cp:keywords/>
  <cp:lastModifiedBy>Hartkopf, Kya</cp:lastModifiedBy>
  <cp:revision>10</cp:revision>
  <cp:lastPrinted>2012-10-05T14:25:00Z</cp:lastPrinted>
  <dcterms:created xsi:type="dcterms:W3CDTF">2019-08-19T20:22:00Z</dcterms:created>
  <dcterms:modified xsi:type="dcterms:W3CDTF">2019-08-19T20:31:00Z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0x010100705896C7D58F6140AADDF173C54C245D</vt:lpwstr>
  </property>
</Properties>
</file>